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06C27" w14:textId="77777777" w:rsidR="004F1EF0" w:rsidRPr="001241EE" w:rsidRDefault="004F1EF0" w:rsidP="004F1EF0">
      <w:pPr>
        <w:widowControl w:val="0"/>
        <w:spacing w:line="240" w:lineRule="auto"/>
        <w:ind w:left="-68" w:right="857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241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Күні</w:t>
      </w:r>
      <w:r w:rsidRPr="0012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</w:t>
      </w:r>
      <w:r w:rsidRPr="00124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124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 w:rsidRPr="001241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241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өр орны </w:t>
      </w:r>
    </w:p>
    <w:p w14:paraId="4331D2A9" w14:textId="77777777" w:rsidR="004F1EF0" w:rsidRDefault="004F1EF0" w:rsidP="004F1E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6B639A" w14:textId="77777777" w:rsidR="004F1EF0" w:rsidRDefault="004F1EF0" w:rsidP="004F1EF0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D8EC5A" w14:textId="77777777" w:rsidR="004F1EF0" w:rsidRDefault="004F1EF0" w:rsidP="004F1EF0">
      <w:pPr>
        <w:sectPr w:rsidR="004F1EF0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14:paraId="37F017A1" w14:textId="77777777" w:rsidR="004F1EF0" w:rsidRDefault="004F1EF0" w:rsidP="004F1EF0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пу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ини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  <w:lang w:val="kk-KZ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әр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тарды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қсат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кас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апта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ұ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лтт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val="kk-KZ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ү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құ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нда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ғ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спубликал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қ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кәс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орн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proofErr w:type="spellEnd"/>
    </w:p>
    <w:p w14:paraId="10C75AA7" w14:textId="77777777" w:rsidR="004F1EF0" w:rsidRDefault="004F1EF0" w:rsidP="004F1EF0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рия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озя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ног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ртиз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ны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средст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дел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диц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г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дицин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ко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хни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ки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3"/>
          <w:szCs w:val="23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ав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ох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3"/>
          <w:szCs w:val="23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аза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  <w:szCs w:val="23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3"/>
          <w:szCs w:val="23"/>
        </w:rPr>
        <w:t>ста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</w:t>
      </w:r>
    </w:p>
    <w:p w14:paraId="4AED6001" w14:textId="77777777" w:rsidR="004F1EF0" w:rsidRDefault="004F1EF0" w:rsidP="004F1EF0">
      <w:pPr>
        <w:sectPr w:rsidR="004F1EF0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14:paraId="0F88EE11" w14:textId="77777777" w:rsidR="004F1EF0" w:rsidRDefault="004F1EF0" w:rsidP="004F1EF0">
      <w:pPr>
        <w:spacing w:after="16" w:line="140" w:lineRule="exact"/>
        <w:rPr>
          <w:sz w:val="14"/>
          <w:szCs w:val="14"/>
        </w:rPr>
      </w:pPr>
    </w:p>
    <w:p w14:paraId="1321C4A4" w14:textId="77777777" w:rsidR="004F1EF0" w:rsidRPr="001241EE" w:rsidRDefault="004F1EF0" w:rsidP="004F1EF0">
      <w:pPr>
        <w:widowControl w:val="0"/>
        <w:spacing w:line="240" w:lineRule="auto"/>
        <w:ind w:left="3964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  <w:lang w:val="kk-KZ"/>
        </w:rPr>
      </w:pPr>
      <w:r w:rsidRPr="001241EE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8"/>
          <w:szCs w:val="28"/>
          <w:lang w:val="kk-KZ"/>
        </w:rPr>
        <w:t>Дәрілік препараттың қауіпсіздігі, тиімділігі мен сапасы жөніндегі жиынтық есеп</w:t>
      </w:r>
    </w:p>
    <w:p w14:paraId="03201CAD" w14:textId="77777777" w:rsidR="003743D5" w:rsidRPr="004F1EF0" w:rsidRDefault="003743D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  <w:lang w:val="kk-KZ"/>
        </w:rPr>
      </w:pPr>
    </w:p>
    <w:p w14:paraId="01F8CDE7" w14:textId="77777777" w:rsidR="003743D5" w:rsidRDefault="003743D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14:paraId="40FFBB1C" w14:textId="77777777" w:rsidR="003743D5" w:rsidRDefault="003743D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14:paraId="2DBA07BF" w14:textId="77777777" w:rsidR="003743D5" w:rsidRDefault="003743D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14:paraId="54C7EFC5" w14:textId="77777777" w:rsidR="003743D5" w:rsidRDefault="003743D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14:paraId="15463A0D" w14:textId="77777777" w:rsidR="003743D5" w:rsidRDefault="003743D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14:paraId="422DC443" w14:textId="77777777" w:rsidR="003743D5" w:rsidRDefault="003743D5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14:paraId="70CF1960" w14:textId="32F18AC0" w:rsidR="003743D5" w:rsidRDefault="004F1EF0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103"/>
          <w:sz w:val="26"/>
          <w:szCs w:val="26"/>
          <w:lang w:val="kk-KZ"/>
        </w:rPr>
        <w:t>Есептен құпия ақпарат жойылды</w:t>
      </w:r>
      <w:r>
        <w:rPr>
          <w:noProof/>
        </w:rPr>
        <w:t xml:space="preserve"> </w:t>
      </w:r>
      <w:r w:rsidR="002167F9">
        <w:rPr>
          <w:noProof/>
        </w:rPr>
        <mc:AlternateContent>
          <mc:Choice Requires="wps">
            <w:drawing>
              <wp:anchor distT="0" distB="0" distL="114300" distR="114300" simplePos="0" relativeHeight="595" behindDoc="1" locked="0" layoutInCell="0" allowOverlap="1" wp14:anchorId="49D5D009" wp14:editId="2A9AC3A2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88"/>
                              <w:gridCol w:w="6576"/>
                            </w:tblGrid>
                            <w:tr w:rsidR="003743D5" w14:paraId="1E941723" w14:textId="77777777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ACB1C91" w14:textId="2C03E86B" w:rsidR="003743D5" w:rsidRDefault="004F1EF0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Дәрілік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пре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арат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  <w:t>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D13C023" w14:textId="77777777" w:rsidR="003743D5" w:rsidRDefault="003743D5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9BEFA46" w14:textId="77777777" w:rsidR="003743D5" w:rsidRDefault="002167F9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Су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льце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ф</w:t>
                                  </w:r>
                                  <w:proofErr w:type="spellEnd"/>
                                </w:p>
                              </w:tc>
                            </w:tr>
                            <w:tr w:rsidR="003743D5" w14:paraId="510B20E1" w14:textId="77777777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2486D09" w14:textId="2C6DF7A2" w:rsidR="003743D5" w:rsidRPr="004F1EF0" w:rsidRDefault="004F1EF0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Өндіруші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F8BCB83" w14:textId="77777777" w:rsidR="003743D5" w:rsidRDefault="002167F9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ед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ке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тд</w:t>
                                  </w:r>
                                </w:p>
                              </w:tc>
                            </w:tr>
                            <w:tr w:rsidR="003743D5" w14:paraId="1D0E7A9C" w14:textId="77777777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2F92BBC" w14:textId="326100F3" w:rsidR="003743D5" w:rsidRPr="004F1EF0" w:rsidRDefault="004F1EF0" w:rsidP="004F1EF0">
                                  <w:pPr>
                                    <w:widowControl w:val="0"/>
                                    <w:spacing w:before="3" w:line="240" w:lineRule="auto"/>
                                    <w:ind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 xml:space="preserve">Елі 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C0F9687" w14:textId="77777777" w:rsidR="003743D5" w:rsidRDefault="002167F9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ИП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Р</w:t>
                                  </w:r>
                                </w:p>
                              </w:tc>
                            </w:tr>
                          </w:tbl>
                          <w:p w14:paraId="4F8263AD" w14:textId="77777777" w:rsidR="00DE60AE" w:rsidRDefault="00DE60AE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D5D009"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8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88"/>
                        <w:gridCol w:w="6576"/>
                      </w:tblGrid>
                      <w:tr w:rsidR="003743D5" w14:paraId="1E941723" w14:textId="77777777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ACB1C91" w14:textId="2C03E86B" w:rsidR="003743D5" w:rsidRDefault="004F1EF0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 xml:space="preserve">Дәрілік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пре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арат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  <w:t>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D13C023" w14:textId="77777777" w:rsidR="003743D5" w:rsidRDefault="003743D5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9BEFA46" w14:textId="77777777" w:rsidR="003743D5" w:rsidRDefault="002167F9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Су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льце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ф</w:t>
                            </w:r>
                            <w:proofErr w:type="spellEnd"/>
                          </w:p>
                        </w:tc>
                      </w:tr>
                      <w:tr w:rsidR="003743D5" w14:paraId="510B20E1" w14:textId="77777777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2486D09" w14:textId="2C6DF7A2" w:rsidR="003743D5" w:rsidRPr="004F1EF0" w:rsidRDefault="004F1EF0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Өндіруші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F8BCB83" w14:textId="77777777" w:rsidR="003743D5" w:rsidRDefault="002167F9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ед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ке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и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тд</w:t>
                            </w:r>
                          </w:p>
                        </w:tc>
                      </w:tr>
                      <w:tr w:rsidR="003743D5" w14:paraId="1D0E7A9C" w14:textId="77777777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2F92BBC" w14:textId="326100F3" w:rsidR="003743D5" w:rsidRPr="004F1EF0" w:rsidRDefault="004F1EF0" w:rsidP="004F1EF0">
                            <w:pPr>
                              <w:widowControl w:val="0"/>
                              <w:spacing w:before="3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 xml:space="preserve">Елі 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C0F9687" w14:textId="77777777" w:rsidR="003743D5" w:rsidRDefault="002167F9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ИП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Р</w:t>
                            </w:r>
                          </w:p>
                        </w:tc>
                      </w:tr>
                    </w:tbl>
                    <w:p w14:paraId="4F8263AD" w14:textId="77777777" w:rsidR="00DE60AE" w:rsidRDefault="00DE60AE"/>
                  </w:txbxContent>
                </v:textbox>
                <w10:wrap anchorx="page"/>
              </v:shape>
            </w:pict>
          </mc:Fallback>
        </mc:AlternateContent>
      </w:r>
    </w:p>
    <w:p w14:paraId="540D6C50" w14:textId="77777777" w:rsidR="003743D5" w:rsidRDefault="003743D5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14:paraId="22011D65" w14:textId="77777777" w:rsidR="003743D5" w:rsidRDefault="003743D5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14:paraId="1FD1677D" w14:textId="1573AA13" w:rsidR="003743D5" w:rsidRDefault="002167F9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4F1EF0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kk-KZ"/>
        </w:rPr>
        <w:t>Рәсімі туралы анықтамалық ақпарат</w:t>
      </w:r>
    </w:p>
    <w:p w14:paraId="3F7BD7F0" w14:textId="77777777" w:rsidR="003743D5" w:rsidRDefault="003743D5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184"/>
      </w:tblGrid>
      <w:tr w:rsidR="003743D5" w14:paraId="3A2AAFC3" w14:textId="77777777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7EE81" w14:textId="77777777" w:rsidR="003743D5" w:rsidRDefault="002167F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575F2" w14:textId="04C82B13" w:rsidR="003743D5" w:rsidRDefault="004F1EF0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Мемлекеттік тіркеу кезінде  дәрілік заттың сараптамасын жүргізуге тіркеу дерекнамасын беру</w:t>
            </w:r>
          </w:p>
        </w:tc>
      </w:tr>
    </w:tbl>
    <w:p w14:paraId="12A5A66E" w14:textId="77777777" w:rsidR="003743D5" w:rsidRDefault="003743D5">
      <w:pPr>
        <w:spacing w:after="3" w:line="220" w:lineRule="exact"/>
      </w:pPr>
    </w:p>
    <w:p w14:paraId="77EE9496" w14:textId="383D7F88" w:rsidR="003743D5" w:rsidRDefault="002167F9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4F1EF0">
        <w:rPr>
          <w:rFonts w:ascii="Times New Roman" w:eastAsia="Times New Roman" w:hAnsi="Times New Roman" w:cs="Times New Roman"/>
          <w:color w:val="000000"/>
          <w:spacing w:val="6"/>
          <w:w w:val="103"/>
          <w:sz w:val="26"/>
          <w:szCs w:val="26"/>
          <w:lang w:val="kk-KZ"/>
        </w:rPr>
        <w:t>Ғылыми талқылау</w:t>
      </w:r>
    </w:p>
    <w:p w14:paraId="16C73B67" w14:textId="77777777" w:rsidR="003743D5" w:rsidRDefault="003743D5">
      <w:pPr>
        <w:spacing w:line="32" w:lineRule="exact"/>
        <w:rPr>
          <w:rFonts w:ascii="Times New Roman" w:eastAsia="Times New Roman" w:hAnsi="Times New Roman" w:cs="Times New Roman"/>
          <w:w w:val="103"/>
          <w:sz w:val="3"/>
          <w:szCs w:val="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9184"/>
      </w:tblGrid>
      <w:tr w:rsidR="003743D5" w14:paraId="52EB2632" w14:textId="77777777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E8A19" w14:textId="77777777" w:rsidR="003743D5" w:rsidRDefault="002167F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4DD51" w14:textId="08AD197A" w:rsidR="003743D5" w:rsidRDefault="004F1EF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Сапа аспектілері</w:t>
            </w:r>
          </w:p>
        </w:tc>
      </w:tr>
    </w:tbl>
    <w:p w14:paraId="222527BB" w14:textId="77777777" w:rsidR="003743D5" w:rsidRDefault="003743D5">
      <w:pPr>
        <w:sectPr w:rsidR="003743D5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3743D5" w14:paraId="670B4441" w14:textId="77777777">
        <w:trPr>
          <w:cantSplit/>
          <w:trHeight w:hRule="exact" w:val="931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1E311" w14:textId="77777777" w:rsidR="003743D5" w:rsidRDefault="003743D5">
            <w:pPr>
              <w:spacing w:line="240" w:lineRule="exact"/>
              <w:rPr>
                <w:sz w:val="24"/>
                <w:szCs w:val="24"/>
              </w:rPr>
            </w:pPr>
          </w:p>
          <w:p w14:paraId="5A20A425" w14:textId="77777777" w:rsidR="003743D5" w:rsidRDefault="003743D5">
            <w:pPr>
              <w:spacing w:line="240" w:lineRule="exact"/>
              <w:rPr>
                <w:sz w:val="24"/>
                <w:szCs w:val="24"/>
              </w:rPr>
            </w:pPr>
          </w:p>
          <w:p w14:paraId="3145F649" w14:textId="77777777" w:rsidR="003743D5" w:rsidRDefault="003743D5">
            <w:pPr>
              <w:spacing w:line="240" w:lineRule="exact"/>
              <w:rPr>
                <w:sz w:val="24"/>
                <w:szCs w:val="24"/>
              </w:rPr>
            </w:pPr>
          </w:p>
          <w:p w14:paraId="64061600" w14:textId="77777777" w:rsidR="003743D5" w:rsidRDefault="003743D5">
            <w:pPr>
              <w:spacing w:line="240" w:lineRule="exact"/>
              <w:rPr>
                <w:sz w:val="24"/>
                <w:szCs w:val="24"/>
              </w:rPr>
            </w:pPr>
          </w:p>
          <w:p w14:paraId="5886E2C7" w14:textId="77777777" w:rsidR="003743D5" w:rsidRDefault="003743D5">
            <w:pPr>
              <w:spacing w:line="240" w:lineRule="exact"/>
              <w:rPr>
                <w:sz w:val="24"/>
                <w:szCs w:val="24"/>
              </w:rPr>
            </w:pPr>
          </w:p>
          <w:p w14:paraId="49B6D1E5" w14:textId="77777777" w:rsidR="003743D5" w:rsidRDefault="003743D5">
            <w:pPr>
              <w:spacing w:line="240" w:lineRule="exact"/>
              <w:rPr>
                <w:sz w:val="24"/>
                <w:szCs w:val="24"/>
              </w:rPr>
            </w:pPr>
          </w:p>
          <w:p w14:paraId="059F23B9" w14:textId="77777777" w:rsidR="003743D5" w:rsidRDefault="003743D5">
            <w:pPr>
              <w:spacing w:line="240" w:lineRule="exact"/>
              <w:rPr>
                <w:sz w:val="24"/>
                <w:szCs w:val="24"/>
              </w:rPr>
            </w:pPr>
          </w:p>
          <w:p w14:paraId="452A2867" w14:textId="77777777" w:rsidR="003743D5" w:rsidRDefault="003743D5">
            <w:pPr>
              <w:spacing w:line="240" w:lineRule="exact"/>
              <w:rPr>
                <w:sz w:val="24"/>
                <w:szCs w:val="24"/>
              </w:rPr>
            </w:pPr>
          </w:p>
          <w:p w14:paraId="7D5CDA18" w14:textId="77777777" w:rsidR="003743D5" w:rsidRDefault="003743D5">
            <w:pPr>
              <w:spacing w:line="240" w:lineRule="exact"/>
              <w:rPr>
                <w:sz w:val="24"/>
                <w:szCs w:val="24"/>
              </w:rPr>
            </w:pPr>
          </w:p>
          <w:p w14:paraId="6E27D363" w14:textId="77777777" w:rsidR="003743D5" w:rsidRDefault="003743D5">
            <w:pPr>
              <w:spacing w:line="240" w:lineRule="exact"/>
              <w:rPr>
                <w:sz w:val="24"/>
                <w:szCs w:val="24"/>
              </w:rPr>
            </w:pPr>
          </w:p>
          <w:p w14:paraId="08E562CC" w14:textId="77777777" w:rsidR="003743D5" w:rsidRDefault="003743D5">
            <w:pPr>
              <w:spacing w:line="240" w:lineRule="exact"/>
              <w:rPr>
                <w:sz w:val="24"/>
                <w:szCs w:val="24"/>
              </w:rPr>
            </w:pPr>
          </w:p>
          <w:p w14:paraId="630BD9E4" w14:textId="77777777" w:rsidR="003743D5" w:rsidRDefault="003743D5">
            <w:pPr>
              <w:spacing w:line="240" w:lineRule="exact"/>
              <w:rPr>
                <w:sz w:val="24"/>
                <w:szCs w:val="24"/>
              </w:rPr>
            </w:pPr>
          </w:p>
          <w:p w14:paraId="58B2D8FE" w14:textId="77777777" w:rsidR="003743D5" w:rsidRDefault="003743D5">
            <w:pPr>
              <w:spacing w:line="240" w:lineRule="exact"/>
              <w:rPr>
                <w:sz w:val="24"/>
                <w:szCs w:val="24"/>
              </w:rPr>
            </w:pPr>
          </w:p>
          <w:p w14:paraId="603B67F5" w14:textId="77777777" w:rsidR="003743D5" w:rsidRDefault="003743D5">
            <w:pPr>
              <w:spacing w:line="240" w:lineRule="exact"/>
              <w:rPr>
                <w:sz w:val="24"/>
                <w:szCs w:val="24"/>
              </w:rPr>
            </w:pPr>
          </w:p>
          <w:p w14:paraId="620FFA1E" w14:textId="77777777" w:rsidR="003743D5" w:rsidRDefault="003743D5">
            <w:pPr>
              <w:spacing w:line="240" w:lineRule="exact"/>
              <w:rPr>
                <w:sz w:val="24"/>
                <w:szCs w:val="24"/>
              </w:rPr>
            </w:pPr>
          </w:p>
          <w:p w14:paraId="19FB421E" w14:textId="77777777" w:rsidR="003743D5" w:rsidRDefault="003743D5">
            <w:pPr>
              <w:spacing w:line="240" w:lineRule="exact"/>
              <w:rPr>
                <w:sz w:val="24"/>
                <w:szCs w:val="24"/>
              </w:rPr>
            </w:pPr>
          </w:p>
          <w:p w14:paraId="57243DFB" w14:textId="77777777" w:rsidR="003743D5" w:rsidRDefault="003743D5">
            <w:pPr>
              <w:spacing w:line="240" w:lineRule="exact"/>
              <w:rPr>
                <w:sz w:val="24"/>
                <w:szCs w:val="24"/>
              </w:rPr>
            </w:pPr>
          </w:p>
          <w:p w14:paraId="246AB228" w14:textId="77777777" w:rsidR="003743D5" w:rsidRDefault="003743D5">
            <w:pPr>
              <w:spacing w:line="240" w:lineRule="exact"/>
              <w:rPr>
                <w:sz w:val="24"/>
                <w:szCs w:val="24"/>
              </w:rPr>
            </w:pPr>
          </w:p>
          <w:p w14:paraId="2C41788E" w14:textId="77777777" w:rsidR="003743D5" w:rsidRDefault="003743D5">
            <w:pPr>
              <w:spacing w:after="3" w:line="200" w:lineRule="exact"/>
              <w:rPr>
                <w:sz w:val="20"/>
                <w:szCs w:val="20"/>
              </w:rPr>
            </w:pPr>
          </w:p>
          <w:p w14:paraId="66BAB920" w14:textId="77777777" w:rsidR="003743D5" w:rsidRDefault="002167F9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CDCCA" w14:textId="1BC50A5C" w:rsidR="003743D5" w:rsidRDefault="004F1EF0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 xml:space="preserve">Белсенді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06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евт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калық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у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нци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Pr="00DA608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EF4E5" w14:textId="77777777" w:rsidR="003743D5" w:rsidRDefault="003743D5">
            <w:pPr>
              <w:spacing w:after="14" w:line="200" w:lineRule="exact"/>
              <w:rPr>
                <w:sz w:val="20"/>
                <w:szCs w:val="20"/>
              </w:rPr>
            </w:pPr>
          </w:p>
          <w:p w14:paraId="562D10D0" w14:textId="77777777" w:rsidR="004F1EF0" w:rsidRPr="004F1EF0" w:rsidRDefault="004F1EF0" w:rsidP="004F1EF0">
            <w:pPr>
              <w:widowControl w:val="0"/>
              <w:spacing w:line="240" w:lineRule="auto"/>
              <w:ind w:left="60" w:right="65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Qilu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ANTIBIOTICS PHARMACEUTICAL CO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шығарған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ЦЕФОПЕРАЗОН натрий БФС., LTD.,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Қытай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Химиялық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атауы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берілген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EDQM 12.11.2014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ж.EDQM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берген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R1-CEP 2007-202-Rev 00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QILU ANTIBIOTICS PHARMACEUTICAL CO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шығарған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натрий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Сульфбактамының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АФС., LTD.,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Қытай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фирманың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БК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келеді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14:paraId="19EAEF1B" w14:textId="77777777" w:rsidR="004F1EF0" w:rsidRPr="004F1EF0" w:rsidRDefault="004F1EF0" w:rsidP="004F1EF0">
            <w:pPr>
              <w:widowControl w:val="0"/>
              <w:spacing w:line="240" w:lineRule="auto"/>
              <w:ind w:left="60" w:right="65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14:paraId="64E395BB" w14:textId="77777777" w:rsidR="004F1EF0" w:rsidRPr="004F1EF0" w:rsidRDefault="004F1EF0" w:rsidP="004F1EF0">
            <w:pPr>
              <w:widowControl w:val="0"/>
              <w:spacing w:line="240" w:lineRule="auto"/>
              <w:ind w:left="60" w:right="65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БФС физика-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химиялық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қасиеттері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туралы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ақпарат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субстанциялардың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фармакопеялық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талаптарға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растау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үшін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жеткілікті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көлемде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сериялы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сертификаттары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сапаның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тұрақтылығын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дәлелдейді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өнімнің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біртектілігі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сериядан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серияға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сақталады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процесс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бақылауда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болады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14:paraId="09F4063F" w14:textId="77777777" w:rsidR="004F1EF0" w:rsidRPr="004F1EF0" w:rsidRDefault="004F1EF0" w:rsidP="004F1EF0">
            <w:pPr>
              <w:widowControl w:val="0"/>
              <w:spacing w:line="240" w:lineRule="auto"/>
              <w:ind w:left="60" w:right="65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14:paraId="71A05428" w14:textId="77777777" w:rsidR="004F1EF0" w:rsidRPr="004F1EF0" w:rsidRDefault="004F1EF0" w:rsidP="004F1EF0">
            <w:pPr>
              <w:widowControl w:val="0"/>
              <w:spacing w:line="240" w:lineRule="auto"/>
              <w:ind w:left="60" w:right="65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деректер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субстанцияның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қолданылатын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әдістерінің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барабарлығын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толық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растайды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БФС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дайын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өнімде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қолдану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үшін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ұсынылады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14:paraId="2EC9885B" w14:textId="77777777" w:rsidR="004F1EF0" w:rsidRPr="004F1EF0" w:rsidRDefault="004F1EF0" w:rsidP="004F1EF0">
            <w:pPr>
              <w:widowControl w:val="0"/>
              <w:spacing w:line="240" w:lineRule="auto"/>
              <w:ind w:left="60" w:right="65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14:paraId="0480CE6C" w14:textId="77777777" w:rsidR="004F1EF0" w:rsidRPr="004F1EF0" w:rsidRDefault="004F1EF0" w:rsidP="004F1EF0">
            <w:pPr>
              <w:widowControl w:val="0"/>
              <w:spacing w:line="240" w:lineRule="auto"/>
              <w:ind w:left="60" w:right="65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БФС физика-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химиялық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қасиеттері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туралы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ақпарат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субстанциялардың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фармакопеялық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талаптарға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растау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үшін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жеткілікті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көлемде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сериялы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сертификаттары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сапаның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тұрақтылығын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дәлелдейді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өнімнің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біртектілігі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сериядан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серияға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сақталады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процесс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бақылауда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болады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14:paraId="5C7BC406" w14:textId="77777777" w:rsidR="004F1EF0" w:rsidRPr="004F1EF0" w:rsidRDefault="004F1EF0" w:rsidP="004F1EF0">
            <w:pPr>
              <w:widowControl w:val="0"/>
              <w:spacing w:line="240" w:lineRule="auto"/>
              <w:ind w:left="60" w:right="65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14:paraId="70F7A1E8" w14:textId="131BFC44" w:rsidR="003743D5" w:rsidRDefault="004F1EF0" w:rsidP="004F1EF0">
            <w:pPr>
              <w:widowControl w:val="0"/>
              <w:spacing w:line="240" w:lineRule="auto"/>
              <w:ind w:left="60" w:right="17" w:firstLine="65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деректер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субстанцияның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қолданылатын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әдістерінің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барабарлығын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толық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растайды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БФС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дайын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өнімде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қолдану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үшін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ұсынылады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  <w:tr w:rsidR="003743D5" w14:paraId="08EE89AD" w14:textId="77777777">
        <w:trPr>
          <w:cantSplit/>
          <w:trHeight w:hRule="exact" w:val="158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65EEF" w14:textId="77777777" w:rsidR="003743D5" w:rsidRDefault="003743D5">
            <w:pPr>
              <w:spacing w:line="240" w:lineRule="exact"/>
              <w:rPr>
                <w:sz w:val="24"/>
                <w:szCs w:val="24"/>
              </w:rPr>
            </w:pPr>
          </w:p>
          <w:p w14:paraId="44B4D130" w14:textId="77777777" w:rsidR="003743D5" w:rsidRDefault="003743D5">
            <w:pPr>
              <w:spacing w:line="240" w:lineRule="exact"/>
              <w:rPr>
                <w:sz w:val="24"/>
                <w:szCs w:val="24"/>
              </w:rPr>
            </w:pPr>
          </w:p>
          <w:p w14:paraId="67C9FA86" w14:textId="77777777" w:rsidR="003743D5" w:rsidRDefault="003743D5">
            <w:pPr>
              <w:spacing w:after="19" w:line="160" w:lineRule="exact"/>
              <w:rPr>
                <w:sz w:val="16"/>
                <w:szCs w:val="16"/>
              </w:rPr>
            </w:pPr>
          </w:p>
          <w:p w14:paraId="4A9CC996" w14:textId="77777777" w:rsidR="003743D5" w:rsidRDefault="002167F9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E5056" w14:textId="4D91145E" w:rsidR="003743D5" w:rsidRDefault="004F1EF0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Қосымша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заттар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сапасы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саны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мәліметтерді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пайдалану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мүмкіндігі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қорытындылармен</w:t>
            </w:r>
            <w:proofErr w:type="spellEnd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A608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CF313" w14:textId="77777777" w:rsidR="003743D5" w:rsidRDefault="003743D5">
            <w:pPr>
              <w:spacing w:after="14" w:line="200" w:lineRule="exact"/>
              <w:rPr>
                <w:sz w:val="20"/>
                <w:szCs w:val="20"/>
              </w:rPr>
            </w:pPr>
          </w:p>
          <w:p w14:paraId="3A55CEE2" w14:textId="6D8EE56C" w:rsidR="003743D5" w:rsidRDefault="004F1EF0">
            <w:pPr>
              <w:widowControl w:val="0"/>
              <w:spacing w:line="240" w:lineRule="auto"/>
              <w:ind w:left="60" w:right="10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Дәрілік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препаратты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өндір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ісі</w:t>
            </w:r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кезінде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қосымша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заттар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пайдаланылмайды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  <w:tr w:rsidR="003743D5" w14:paraId="5774B705" w14:textId="77777777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45B0F" w14:textId="77777777" w:rsidR="003743D5" w:rsidRDefault="002167F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6248C" w14:textId="05688DF0" w:rsidR="003743D5" w:rsidRDefault="004F1EF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Дәрілік </w:t>
            </w:r>
            <w:r w:rsidR="002167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2167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</w:t>
            </w:r>
            <w:r w:rsidR="002167F9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r w:rsidR="002167F9"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а</w:t>
            </w:r>
            <w:r w:rsidR="002167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</w:t>
            </w:r>
          </w:p>
        </w:tc>
      </w:tr>
      <w:tr w:rsidR="003743D5" w14:paraId="4B4D8FC0" w14:textId="77777777">
        <w:trPr>
          <w:cantSplit/>
          <w:trHeight w:hRule="exact" w:val="2375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E2271" w14:textId="77777777" w:rsidR="003743D5" w:rsidRDefault="003743D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C2AE8" w14:textId="6B15897B" w:rsidR="003743D5" w:rsidRDefault="004F1EF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6E8AA" w14:textId="77777777" w:rsidR="003743D5" w:rsidRDefault="003743D5">
            <w:pPr>
              <w:spacing w:after="14" w:line="200" w:lineRule="exact"/>
              <w:rPr>
                <w:sz w:val="20"/>
                <w:szCs w:val="20"/>
              </w:rPr>
            </w:pPr>
          </w:p>
          <w:p w14:paraId="1DB88831" w14:textId="2FE59A69" w:rsidR="003743D5" w:rsidRDefault="004F1EF0">
            <w:pPr>
              <w:widowControl w:val="0"/>
              <w:spacing w:line="240" w:lineRule="auto"/>
              <w:ind w:left="60" w:right="3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GMP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талаптарын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қанағаттандыратын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өндіріс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процесінде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өндіріс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пен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процесінің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толық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сипаттамасы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келтірілген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Валидациялық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сынақтардың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өндіріс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процесі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тұрақты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екенін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дайын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өнімге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компания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сипаттамасының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талаптарына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келетін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сериядан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серияға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алуға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мүмкіндік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беретінін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көрсетеді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</w:tbl>
    <w:p w14:paraId="79908B51" w14:textId="77777777" w:rsidR="003743D5" w:rsidRDefault="003743D5">
      <w:pPr>
        <w:sectPr w:rsidR="003743D5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6"/>
      </w:tblGrid>
      <w:tr w:rsidR="003743D5" w14:paraId="5D070B27" w14:textId="77777777">
        <w:trPr>
          <w:cantSplit/>
          <w:trHeight w:hRule="exact" w:val="3900"/>
        </w:trPr>
        <w:tc>
          <w:tcPr>
            <w:tcW w:w="6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DA913" w14:textId="77777777" w:rsidR="003743D5" w:rsidRDefault="003743D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C011E" w14:textId="31F8ABCC" w:rsidR="003743D5" w:rsidRDefault="004F1EF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DA608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kk-KZ"/>
              </w:rPr>
              <w:t>Сапасының өзіндік ерекшелігі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6F9B9" w14:textId="193CA814" w:rsidR="004F1EF0" w:rsidRPr="004F1EF0" w:rsidRDefault="004F1EF0" w:rsidP="004F1EF0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</w:t>
            </w:r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9.5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стандарттары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r w:rsidRPr="00603E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>ICH Q2, Q6A, Q3</w:t>
            </w:r>
            <w:proofErr w:type="gramStart"/>
            <w:r w:rsidRPr="00603E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басшылығы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шеңберіндегі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сипаттаманың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негіздемесі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препараттың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Қолданылатын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әдістерінің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сәйкестігін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дәлелдейді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14:paraId="6F67092B" w14:textId="77777777" w:rsidR="004F1EF0" w:rsidRPr="004F1EF0" w:rsidRDefault="004F1EF0" w:rsidP="004F1EF0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14:paraId="5ED7A417" w14:textId="77777777" w:rsidR="004F1EF0" w:rsidRPr="004F1EF0" w:rsidRDefault="004F1EF0" w:rsidP="004F1EF0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Талдамалық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әдістемелердің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жүргізілген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валидациясының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мәлімделген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дәрілік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заттың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күнделікті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үшін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әдістемелерді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қолдану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мүмкіндігін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растайды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14:paraId="11BEEEBC" w14:textId="77777777" w:rsidR="004F1EF0" w:rsidRPr="004F1EF0" w:rsidRDefault="004F1EF0" w:rsidP="004F1EF0">
            <w:pPr>
              <w:widowControl w:val="0"/>
              <w:tabs>
                <w:tab w:val="left" w:pos="1821"/>
                <w:tab w:val="left" w:pos="3370"/>
                <w:tab w:val="left" w:pos="5105"/>
                <w:tab w:val="left" w:pos="5494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14:paraId="41FE8A28" w14:textId="64D956BF" w:rsidR="003743D5" w:rsidRDefault="004F1EF0" w:rsidP="004F1EF0">
            <w:pPr>
              <w:widowControl w:val="0"/>
              <w:tabs>
                <w:tab w:val="left" w:pos="2123"/>
                <w:tab w:val="left" w:pos="2727"/>
                <w:tab w:val="left" w:pos="4306"/>
                <w:tab w:val="left" w:pos="4979"/>
                <w:tab w:val="left" w:pos="5351"/>
                <w:tab w:val="left" w:pos="5856"/>
              </w:tabs>
              <w:spacing w:line="240" w:lineRule="auto"/>
              <w:ind w:left="60" w:right="17" w:firstLine="734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сериялы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сертификаттары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өнімнің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сапа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тұрақтылығы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біртектілігі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сериядан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серияға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сақталатынын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процестің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бақылауда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екенін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дәлелдейді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  <w:tr w:rsidR="003743D5" w14:paraId="79017A4D" w14:textId="77777777">
        <w:trPr>
          <w:cantSplit/>
          <w:trHeight w:hRule="exact" w:val="4807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3C336" w14:textId="77777777" w:rsidR="003743D5" w:rsidRDefault="003743D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4EBF9" w14:textId="1FE64BF4" w:rsidR="003743D5" w:rsidRPr="004F1EF0" w:rsidRDefault="004F1EF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 xml:space="preserve">Тұрақтылық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DFD51" w14:textId="77777777" w:rsidR="004F1EF0" w:rsidRPr="004F1EF0" w:rsidRDefault="004F1EF0" w:rsidP="004F1EF0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</w:pPr>
            <w:r w:rsidRPr="004F1EF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Тұрақтылық сынақтары ICH Q1A (R2), Q1C талаптарына сәйкес жүргізілді. </w:t>
            </w:r>
          </w:p>
          <w:p w14:paraId="64CBD3D5" w14:textId="77777777" w:rsidR="004F1EF0" w:rsidRPr="004F1EF0" w:rsidRDefault="004F1EF0" w:rsidP="004F1EF0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</w:pPr>
          </w:p>
          <w:p w14:paraId="7A8A7BA6" w14:textId="77777777" w:rsidR="004F1EF0" w:rsidRPr="004F1EF0" w:rsidRDefault="004F1EF0" w:rsidP="004F1EF0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</w:pPr>
            <w:r w:rsidRPr="004F1EF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Ұзақ мерзімді тұрақтылықты зерттеу нәтижелеріне сәйкес дайын препарат сапасының сыни көрсеткіштерінде айтарлықтай өзгерістер байқалмайды.</w:t>
            </w:r>
          </w:p>
          <w:p w14:paraId="2DB69760" w14:textId="77777777" w:rsidR="004F1EF0" w:rsidRPr="004F1EF0" w:rsidRDefault="004F1EF0" w:rsidP="004F1EF0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</w:pPr>
          </w:p>
          <w:p w14:paraId="50DA1252" w14:textId="4181A10A" w:rsidR="004F1EF0" w:rsidRPr="004F1EF0" w:rsidRDefault="004F1EF0" w:rsidP="004F1EF0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</w:pPr>
            <w:r w:rsidRPr="004F1EF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1. Сипаттама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ерекшелік</w:t>
            </w:r>
            <w:r w:rsidRPr="004F1EF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талаптарына сәйкес келеді;</w:t>
            </w:r>
          </w:p>
          <w:p w14:paraId="58FDA276" w14:textId="77777777" w:rsidR="004F1EF0" w:rsidRPr="004F1EF0" w:rsidRDefault="004F1EF0" w:rsidP="004F1EF0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</w:pPr>
          </w:p>
          <w:p w14:paraId="154E7E6F" w14:textId="4C0F5CA0" w:rsidR="004F1EF0" w:rsidRPr="004F1EF0" w:rsidRDefault="004F1EF0" w:rsidP="004F1EF0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</w:pPr>
            <w:r w:rsidRPr="004F1EF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2. Қоспалардың құрамы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ерекшелік</w:t>
            </w:r>
            <w:r w:rsidRPr="004F1EF0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 xml:space="preserve"> шегінде болуы тиіс;</w:t>
            </w:r>
          </w:p>
          <w:p w14:paraId="7F551B92" w14:textId="77777777" w:rsidR="004F1EF0" w:rsidRPr="004F1EF0" w:rsidRDefault="004F1EF0" w:rsidP="004F1EF0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</w:pPr>
          </w:p>
          <w:p w14:paraId="7F0FB987" w14:textId="77777777" w:rsidR="004F1EF0" w:rsidRPr="00603E92" w:rsidRDefault="004F1EF0" w:rsidP="004F1EF0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3.</w:t>
            </w:r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ab/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Белсенді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заттың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сандық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құрамының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айтарлықтай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өзгерістері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байқалмайды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  <w:p w14:paraId="194D7C3D" w14:textId="77777777" w:rsidR="004F1EF0" w:rsidRPr="00603E92" w:rsidRDefault="004F1EF0" w:rsidP="004F1EF0">
            <w:pPr>
              <w:widowControl w:val="0"/>
              <w:tabs>
                <w:tab w:val="left" w:pos="1410"/>
                <w:tab w:val="left" w:pos="3007"/>
                <w:tab w:val="left" w:pos="4522"/>
                <w:tab w:val="left" w:pos="4880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</w:pPr>
          </w:p>
          <w:p w14:paraId="7DBDE4DA" w14:textId="4CA3DDF1" w:rsidR="003743D5" w:rsidRDefault="004F1EF0" w:rsidP="004F1EF0">
            <w:pPr>
              <w:widowControl w:val="0"/>
              <w:spacing w:line="240" w:lineRule="auto"/>
              <w:ind w:left="60" w:right="-16" w:firstLine="67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Препараттың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тұрақтылығын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нәтижелері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мәлімделген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сақтау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мерзімін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2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жыл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растайды</w:t>
            </w:r>
            <w:proofErr w:type="spellEnd"/>
            <w:r w:rsidRPr="00603E92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3743D5" w14:paraId="4F312EEE" w14:textId="77777777">
        <w:trPr>
          <w:cantSplit/>
          <w:trHeight w:hRule="exact" w:val="34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DC698" w14:textId="77777777" w:rsidR="003743D5" w:rsidRDefault="003743D5">
            <w:pPr>
              <w:spacing w:line="240" w:lineRule="exact"/>
              <w:rPr>
                <w:sz w:val="24"/>
                <w:szCs w:val="24"/>
              </w:rPr>
            </w:pPr>
          </w:p>
          <w:p w14:paraId="3378A157" w14:textId="77777777" w:rsidR="003743D5" w:rsidRDefault="003743D5">
            <w:pPr>
              <w:spacing w:line="240" w:lineRule="exact"/>
              <w:rPr>
                <w:sz w:val="24"/>
                <w:szCs w:val="24"/>
              </w:rPr>
            </w:pPr>
          </w:p>
          <w:p w14:paraId="35D26491" w14:textId="77777777" w:rsidR="003743D5" w:rsidRDefault="003743D5">
            <w:pPr>
              <w:spacing w:line="240" w:lineRule="exact"/>
              <w:rPr>
                <w:sz w:val="24"/>
                <w:szCs w:val="24"/>
              </w:rPr>
            </w:pPr>
          </w:p>
          <w:p w14:paraId="6368DFF9" w14:textId="77777777" w:rsidR="003743D5" w:rsidRDefault="003743D5">
            <w:pPr>
              <w:spacing w:line="240" w:lineRule="exact"/>
              <w:rPr>
                <w:sz w:val="24"/>
                <w:szCs w:val="24"/>
              </w:rPr>
            </w:pPr>
          </w:p>
          <w:p w14:paraId="4965305E" w14:textId="77777777" w:rsidR="003743D5" w:rsidRDefault="003743D5">
            <w:pPr>
              <w:spacing w:line="240" w:lineRule="exact"/>
              <w:rPr>
                <w:sz w:val="24"/>
                <w:szCs w:val="24"/>
              </w:rPr>
            </w:pPr>
          </w:p>
          <w:p w14:paraId="49FD68FB" w14:textId="77777777" w:rsidR="003743D5" w:rsidRDefault="003743D5">
            <w:pPr>
              <w:spacing w:line="240" w:lineRule="exact"/>
              <w:rPr>
                <w:sz w:val="24"/>
                <w:szCs w:val="24"/>
              </w:rPr>
            </w:pPr>
          </w:p>
          <w:p w14:paraId="19B12F11" w14:textId="77777777" w:rsidR="003743D5" w:rsidRDefault="003743D5">
            <w:pPr>
              <w:spacing w:after="18" w:line="120" w:lineRule="exact"/>
              <w:rPr>
                <w:sz w:val="12"/>
                <w:szCs w:val="12"/>
              </w:rPr>
            </w:pPr>
          </w:p>
          <w:p w14:paraId="3D675666" w14:textId="77777777" w:rsidR="003743D5" w:rsidRDefault="002167F9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A5BE0" w14:textId="2F88285F" w:rsidR="003743D5" w:rsidRDefault="004F1EF0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Клиникаға дейінгі аспектілер </w:t>
            </w:r>
            <w:r w:rsidR="002167F9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2EE88" w14:textId="1D11EB05" w:rsidR="004F1EF0" w:rsidRPr="004F1EF0" w:rsidRDefault="004F1EF0" w:rsidP="004F1EF0">
            <w:pPr>
              <w:widowControl w:val="0"/>
              <w:spacing w:before="3" w:line="240" w:lineRule="auto"/>
              <w:ind w:left="60" w:right="128" w:firstLine="57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</w:pPr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Препарат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мемлекеттік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тіркеуге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берілген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 xml:space="preserve">Қайта өндірілген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бір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компонентті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LP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ретінде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мәлімделген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.</w:t>
            </w:r>
          </w:p>
          <w:p w14:paraId="5475CF24" w14:textId="77777777" w:rsidR="004F1EF0" w:rsidRPr="004F1EF0" w:rsidRDefault="004F1EF0" w:rsidP="004F1EF0">
            <w:pPr>
              <w:widowControl w:val="0"/>
              <w:spacing w:before="3" w:line="240" w:lineRule="auto"/>
              <w:ind w:left="60" w:right="128" w:firstLine="57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</w:pPr>
          </w:p>
          <w:p w14:paraId="6FBA0A7C" w14:textId="6C1C01FB" w:rsidR="003743D5" w:rsidRDefault="004F1EF0" w:rsidP="004F1EF0">
            <w:pPr>
              <w:widowControl w:val="0"/>
              <w:spacing w:line="240" w:lineRule="auto"/>
              <w:ind w:left="60" w:right="10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Тіркеу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деректерінің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II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модулінде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клиникаға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дейінгі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зерттеулерге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әдеби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шолу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ұсынылған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,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клиникаға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дейінгі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зерттеулер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бойынша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талдаудың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әдеби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деректері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ұсынылған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: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уыттылығы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(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жедел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,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созылмалы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, LD50, LD100),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канцерогендігі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,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эмбриоуыттылығы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,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тератогендігі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,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мутагендігі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,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жергілікті-тітіркендіргіш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әсері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,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иммундық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жүйеге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әсері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>арнайы</w:t>
            </w:r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фармакологиялық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(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биологиялық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) </w:t>
            </w:r>
            <w:proofErr w:type="spellStart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белсенділігі</w:t>
            </w:r>
            <w:proofErr w:type="spellEnd"/>
            <w:r w:rsidRPr="004F1EF0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.</w:t>
            </w:r>
          </w:p>
        </w:tc>
      </w:tr>
      <w:tr w:rsidR="003743D5" w:rsidRPr="005B28CA" w14:paraId="122834FC" w14:textId="77777777">
        <w:trPr>
          <w:cantSplit/>
          <w:trHeight w:hRule="exact" w:val="269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25247" w14:textId="77777777" w:rsidR="003743D5" w:rsidRDefault="003743D5">
            <w:pPr>
              <w:spacing w:line="240" w:lineRule="exact"/>
              <w:rPr>
                <w:sz w:val="24"/>
                <w:szCs w:val="24"/>
              </w:rPr>
            </w:pPr>
          </w:p>
          <w:p w14:paraId="017B4444" w14:textId="77777777" w:rsidR="003743D5" w:rsidRDefault="003743D5">
            <w:pPr>
              <w:spacing w:line="240" w:lineRule="exact"/>
              <w:rPr>
                <w:sz w:val="24"/>
                <w:szCs w:val="24"/>
              </w:rPr>
            </w:pPr>
          </w:p>
          <w:p w14:paraId="70F68957" w14:textId="77777777" w:rsidR="003743D5" w:rsidRDefault="003743D5">
            <w:pPr>
              <w:spacing w:line="240" w:lineRule="exact"/>
              <w:rPr>
                <w:sz w:val="24"/>
                <w:szCs w:val="24"/>
              </w:rPr>
            </w:pPr>
          </w:p>
          <w:p w14:paraId="3CFFC7FE" w14:textId="77777777" w:rsidR="003743D5" w:rsidRDefault="003743D5">
            <w:pPr>
              <w:spacing w:line="240" w:lineRule="exact"/>
              <w:rPr>
                <w:sz w:val="24"/>
                <w:szCs w:val="24"/>
              </w:rPr>
            </w:pPr>
          </w:p>
          <w:p w14:paraId="3BA8242E" w14:textId="77777777" w:rsidR="003743D5" w:rsidRDefault="003743D5">
            <w:pPr>
              <w:spacing w:after="12" w:line="240" w:lineRule="exact"/>
              <w:rPr>
                <w:sz w:val="24"/>
                <w:szCs w:val="24"/>
              </w:rPr>
            </w:pPr>
          </w:p>
          <w:p w14:paraId="3C80C86F" w14:textId="77777777" w:rsidR="003743D5" w:rsidRDefault="002167F9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62E5B" w14:textId="7862E286" w:rsidR="003743D5" w:rsidRPr="004F1EF0" w:rsidRDefault="002167F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н</w:t>
            </w:r>
            <w:r w:rsidR="004F1EF0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икалық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</w:t>
            </w:r>
            <w:r w:rsidR="004F1EF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ілер</w:t>
            </w:r>
            <w:proofErr w:type="gram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D1F58" w14:textId="54506463" w:rsidR="003743D5" w:rsidRPr="005B28CA" w:rsidRDefault="004F1EF0" w:rsidP="005B28CA">
            <w:pPr>
              <w:widowControl w:val="0"/>
              <w:tabs>
                <w:tab w:val="left" w:pos="1206"/>
                <w:tab w:val="left" w:pos="2007"/>
                <w:tab w:val="left" w:pos="3053"/>
                <w:tab w:val="left" w:pos="3776"/>
                <w:tab w:val="left" w:pos="4521"/>
                <w:tab w:val="left" w:pos="5867"/>
              </w:tabs>
              <w:spacing w:before="3" w:line="240" w:lineRule="auto"/>
              <w:ind w:right="1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kk-KZ"/>
              </w:rPr>
            </w:pPr>
            <w:r w:rsidRPr="004F1EF0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ҚР ДСМ 2009 жылғы 18 қарашадағы № 736 бұйрығының 4-қосымшасының 2.2</w:t>
            </w:r>
            <w:r w:rsidR="005B28CA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-тт. сәйкес</w:t>
            </w:r>
            <w:r w:rsidRPr="004F1EF0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 препарат қайта өндірілген дәрілік ПРЕПАРАТ ретінде мәлімделген, Кипр </w:t>
            </w:r>
            <w:r w:rsidR="005B28CA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ө</w:t>
            </w:r>
            <w:r w:rsidRPr="004F1EF0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ндіруші ел</w:t>
            </w:r>
            <w:r w:rsidR="005B28CA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і</w:t>
            </w:r>
            <w:r w:rsidRPr="004F1EF0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 ЕО-дан тұрады, осыған байланысты ин</w:t>
            </w:r>
            <w:r w:rsidR="005B28CA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-</w:t>
            </w:r>
            <w:r w:rsidRPr="004F1EF0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виво баламалылығын зерттеу есептерін ұсыну талап етілмейді, өйткені парентералдық қолдануға арналған препарат. </w:t>
            </w:r>
            <w:r w:rsidRPr="005B28CA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RD осы препараттың тиімділігі мен қауіпсіздігі туралы әдебиеттерге шолу жасайды.</w:t>
            </w:r>
            <w:r w:rsidR="002167F9" w:rsidRPr="005B28C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</w:p>
        </w:tc>
      </w:tr>
    </w:tbl>
    <w:p w14:paraId="2B855C00" w14:textId="77777777" w:rsidR="003743D5" w:rsidRPr="005B28CA" w:rsidRDefault="003743D5">
      <w:pPr>
        <w:rPr>
          <w:lang w:val="kk-KZ"/>
        </w:rPr>
        <w:sectPr w:rsidR="003743D5" w:rsidRPr="005B28CA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7"/>
      </w:tblGrid>
      <w:tr w:rsidR="003743D5" w14:paraId="15B779D3" w14:textId="77777777" w:rsidTr="000C13DA">
        <w:trPr>
          <w:cantSplit/>
          <w:trHeight w:hRule="exact" w:val="1191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7252C" w14:textId="77777777" w:rsidR="003743D5" w:rsidRPr="005B28CA" w:rsidRDefault="003743D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14:paraId="16C9D32B" w14:textId="77777777" w:rsidR="003743D5" w:rsidRPr="005B28CA" w:rsidRDefault="003743D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14:paraId="57B6C55A" w14:textId="77777777" w:rsidR="003743D5" w:rsidRPr="005B28CA" w:rsidRDefault="003743D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14:paraId="19BDF865" w14:textId="77777777" w:rsidR="003743D5" w:rsidRPr="005B28CA" w:rsidRDefault="003743D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14:paraId="27EF0758" w14:textId="77777777" w:rsidR="003743D5" w:rsidRPr="005B28CA" w:rsidRDefault="003743D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14:paraId="17F98DD8" w14:textId="77777777" w:rsidR="003743D5" w:rsidRPr="005B28CA" w:rsidRDefault="003743D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14:paraId="5BC346E6" w14:textId="77777777" w:rsidR="003743D5" w:rsidRPr="005B28CA" w:rsidRDefault="003743D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14:paraId="6D83BE91" w14:textId="77777777" w:rsidR="003743D5" w:rsidRPr="005B28CA" w:rsidRDefault="003743D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14:paraId="7232B8C8" w14:textId="77777777" w:rsidR="003743D5" w:rsidRPr="005B28CA" w:rsidRDefault="003743D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14:paraId="1EE7D774" w14:textId="77777777" w:rsidR="003743D5" w:rsidRPr="005B28CA" w:rsidRDefault="003743D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14:paraId="3F414E4A" w14:textId="77777777" w:rsidR="003743D5" w:rsidRPr="005B28CA" w:rsidRDefault="003743D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14:paraId="47653BDB" w14:textId="77777777" w:rsidR="003743D5" w:rsidRPr="005B28CA" w:rsidRDefault="003743D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14:paraId="11B62BA2" w14:textId="77777777" w:rsidR="003743D5" w:rsidRPr="005B28CA" w:rsidRDefault="003743D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14:paraId="14B4AEFC" w14:textId="77777777" w:rsidR="003743D5" w:rsidRPr="005B28CA" w:rsidRDefault="003743D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14:paraId="72A9B7CF" w14:textId="77777777" w:rsidR="003743D5" w:rsidRPr="005B28CA" w:rsidRDefault="003743D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14:paraId="73FD7E3A" w14:textId="77777777" w:rsidR="003743D5" w:rsidRPr="005B28CA" w:rsidRDefault="003743D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14:paraId="5EE064FD" w14:textId="77777777" w:rsidR="003743D5" w:rsidRPr="005B28CA" w:rsidRDefault="003743D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14:paraId="618F29BB" w14:textId="77777777" w:rsidR="003743D5" w:rsidRPr="005B28CA" w:rsidRDefault="003743D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14:paraId="4C40D362" w14:textId="77777777" w:rsidR="003743D5" w:rsidRPr="005B28CA" w:rsidRDefault="003743D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14:paraId="6DFA3861" w14:textId="77777777" w:rsidR="003743D5" w:rsidRPr="005B28CA" w:rsidRDefault="003743D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14:paraId="3351E304" w14:textId="77777777" w:rsidR="003743D5" w:rsidRPr="005B28CA" w:rsidRDefault="003743D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14:paraId="677EDB01" w14:textId="77777777" w:rsidR="003743D5" w:rsidRPr="005B28CA" w:rsidRDefault="003743D5">
            <w:pPr>
              <w:spacing w:line="240" w:lineRule="exact"/>
              <w:rPr>
                <w:sz w:val="24"/>
                <w:szCs w:val="24"/>
                <w:lang w:val="kk-KZ"/>
              </w:rPr>
            </w:pPr>
          </w:p>
          <w:p w14:paraId="08A4AB4E" w14:textId="77777777" w:rsidR="003743D5" w:rsidRPr="005B28CA" w:rsidRDefault="003743D5">
            <w:pPr>
              <w:spacing w:after="2" w:line="140" w:lineRule="exact"/>
              <w:rPr>
                <w:sz w:val="14"/>
                <w:szCs w:val="14"/>
                <w:lang w:val="kk-KZ"/>
              </w:rPr>
            </w:pPr>
          </w:p>
          <w:p w14:paraId="304C7F11" w14:textId="77777777" w:rsidR="003743D5" w:rsidRDefault="002167F9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37DB4" w14:textId="39540032" w:rsidR="003743D5" w:rsidRDefault="005B28C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73E8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Пайда-қауіпті бағалау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E1476" w14:textId="77777777" w:rsidR="005B28CA" w:rsidRPr="005B28CA" w:rsidRDefault="005B28CA" w:rsidP="005B28CA">
            <w:pPr>
              <w:widowControl w:val="0"/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</w:pP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Препаратты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дәрігердің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тағайындауына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сәйкес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қолданған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және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нұсқаулықты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сақтаған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жағдайда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"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пайда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/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қауіп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"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арақатынасы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қолайлы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.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Сульцеф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препаратын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келесі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жағдайларда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қолдануға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болады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:</w:t>
            </w:r>
          </w:p>
          <w:p w14:paraId="32C3A465" w14:textId="77777777" w:rsidR="005B28CA" w:rsidRPr="005B28CA" w:rsidRDefault="005B28CA" w:rsidP="005B28CA">
            <w:pPr>
              <w:widowControl w:val="0"/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</w:pPr>
          </w:p>
          <w:p w14:paraId="16869302" w14:textId="77777777" w:rsidR="005B28CA" w:rsidRPr="005B28CA" w:rsidRDefault="005B28CA" w:rsidP="005B28CA">
            <w:pPr>
              <w:widowControl w:val="0"/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</w:pP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Монотерапия</w:t>
            </w:r>
            <w:proofErr w:type="spellEnd"/>
          </w:p>
          <w:p w14:paraId="43C25ECF" w14:textId="77777777" w:rsidR="005B28CA" w:rsidRPr="005B28CA" w:rsidRDefault="005B28CA" w:rsidP="005B28CA">
            <w:pPr>
              <w:widowControl w:val="0"/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</w:pPr>
          </w:p>
          <w:p w14:paraId="12BC160D" w14:textId="77777777" w:rsidR="005B28CA" w:rsidRPr="005B28CA" w:rsidRDefault="005B28CA" w:rsidP="005B28CA">
            <w:pPr>
              <w:widowControl w:val="0"/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</w:pP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Сульбактам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/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цефоперазон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монотерапия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ретінде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сезімтал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микроорганизмдерден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туындаған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келесі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инфекцияларды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емдеу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үшін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көрсетілген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:</w:t>
            </w:r>
          </w:p>
          <w:p w14:paraId="54A6A4F2" w14:textId="77777777" w:rsidR="005B28CA" w:rsidRPr="005B28CA" w:rsidRDefault="005B28CA" w:rsidP="005B28CA">
            <w:pPr>
              <w:widowControl w:val="0"/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</w:pPr>
          </w:p>
          <w:p w14:paraId="1812C8E9" w14:textId="77777777" w:rsidR="005B28CA" w:rsidRPr="005B28CA" w:rsidRDefault="005B28CA" w:rsidP="005B28CA">
            <w:pPr>
              <w:widowControl w:val="0"/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</w:pPr>
          </w:p>
          <w:p w14:paraId="23B242D3" w14:textId="474EC32F" w:rsidR="005B28CA" w:rsidRPr="005B28CA" w:rsidRDefault="001F1B38" w:rsidP="005B28CA">
            <w:pPr>
              <w:widowControl w:val="0"/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</w:pPr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•</w:t>
            </w:r>
            <w:r w:rsidR="005B28CA"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="005B28CA"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тыныс</w:t>
            </w:r>
            <w:proofErr w:type="spellEnd"/>
            <w:r w:rsidR="005B28CA"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="005B28CA"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алу</w:t>
            </w:r>
            <w:proofErr w:type="spellEnd"/>
            <w:r w:rsidR="005B28CA"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="005B28CA"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жолдарының</w:t>
            </w:r>
            <w:proofErr w:type="spellEnd"/>
            <w:r w:rsidR="005B28CA"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="005B28CA"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инфекциясы</w:t>
            </w:r>
            <w:proofErr w:type="spellEnd"/>
            <w:r w:rsidR="005B28CA"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(</w:t>
            </w:r>
            <w:proofErr w:type="spellStart"/>
            <w:r w:rsidR="005B28CA"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жоғарғы</w:t>
            </w:r>
            <w:proofErr w:type="spellEnd"/>
            <w:r w:rsidR="005B28CA"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="005B28CA"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және</w:t>
            </w:r>
            <w:proofErr w:type="spellEnd"/>
            <w:r w:rsidR="005B28CA"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="005B28CA"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төменгі</w:t>
            </w:r>
            <w:proofErr w:type="spellEnd"/>
            <w:r w:rsidR="005B28CA"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="005B28CA"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бөлімдер</w:t>
            </w:r>
            <w:proofErr w:type="spellEnd"/>
            <w:r w:rsidR="005B28CA"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)</w:t>
            </w:r>
          </w:p>
          <w:p w14:paraId="08BA6AA1" w14:textId="6AB2401C" w:rsidR="005B28CA" w:rsidRPr="005B28CA" w:rsidRDefault="001F1B38" w:rsidP="005B28CA">
            <w:pPr>
              <w:widowControl w:val="0"/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</w:pPr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•</w:t>
            </w:r>
            <w:r w:rsidR="005B28CA"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="005B28CA"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зәр</w:t>
            </w:r>
            <w:proofErr w:type="spellEnd"/>
            <w:r w:rsidR="005B28CA"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="005B28CA"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шығару</w:t>
            </w:r>
            <w:proofErr w:type="spellEnd"/>
            <w:r w:rsidR="005B28CA"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="005B28CA"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жолдарының</w:t>
            </w:r>
            <w:proofErr w:type="spellEnd"/>
            <w:r w:rsidR="005B28CA"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="005B28CA"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инфекциясы</w:t>
            </w:r>
            <w:proofErr w:type="spellEnd"/>
            <w:r w:rsidR="005B28CA"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(</w:t>
            </w:r>
            <w:proofErr w:type="spellStart"/>
            <w:r w:rsidR="005B28CA"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жоғарғы</w:t>
            </w:r>
            <w:proofErr w:type="spellEnd"/>
            <w:r w:rsidR="005B28CA"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="005B28CA"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және</w:t>
            </w:r>
            <w:proofErr w:type="spellEnd"/>
            <w:r w:rsidR="005B28CA"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="005B28CA"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төменгі</w:t>
            </w:r>
            <w:proofErr w:type="spellEnd"/>
            <w:r w:rsidR="005B28CA"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="005B28CA"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бөлімдер</w:t>
            </w:r>
            <w:proofErr w:type="spellEnd"/>
            <w:r w:rsidR="005B28CA"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)</w:t>
            </w:r>
          </w:p>
          <w:p w14:paraId="72994B06" w14:textId="77777777" w:rsidR="005B28CA" w:rsidRPr="005B28CA" w:rsidRDefault="005B28CA" w:rsidP="005B28CA">
            <w:pPr>
              <w:widowControl w:val="0"/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</w:pPr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перитонит, холецистит, холангит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және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іш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қуысының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басқа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инфекциясы</w:t>
            </w:r>
            <w:proofErr w:type="spellEnd"/>
          </w:p>
          <w:p w14:paraId="4DCEE324" w14:textId="77777777" w:rsidR="001F1B38" w:rsidRDefault="001F1B38" w:rsidP="005B28CA">
            <w:pPr>
              <w:widowControl w:val="0"/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</w:pPr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•</w:t>
            </w:r>
            <w:r w:rsidR="005B28CA"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септицемия </w:t>
            </w:r>
          </w:p>
          <w:p w14:paraId="7DE00948" w14:textId="5B504468" w:rsidR="005B28CA" w:rsidRPr="005B28CA" w:rsidRDefault="001F1B38" w:rsidP="005B28CA">
            <w:pPr>
              <w:widowControl w:val="0"/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</w:pPr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•</w:t>
            </w:r>
            <w:r w:rsidR="005B28CA"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менингит</w:t>
            </w:r>
          </w:p>
          <w:p w14:paraId="16D102C6" w14:textId="77777777" w:rsidR="005B28CA" w:rsidRPr="005B28CA" w:rsidRDefault="005B28CA" w:rsidP="005B28CA">
            <w:pPr>
              <w:widowControl w:val="0"/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</w:pPr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•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тері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мен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жұмсақ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тіндердің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инфекциясы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*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сүйектер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мен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буындардың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инфекциясы</w:t>
            </w:r>
            <w:proofErr w:type="spellEnd"/>
          </w:p>
          <w:p w14:paraId="6B6423E5" w14:textId="77777777" w:rsidR="005B28CA" w:rsidRPr="005B28CA" w:rsidRDefault="005B28CA" w:rsidP="005B28CA">
            <w:pPr>
              <w:widowControl w:val="0"/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</w:pP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кіші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жамбас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ағзаларының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қабыну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аурулары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, эндометрит, гонорея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және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жыныс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мүшелерінің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басқа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да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жұқпалары</w:t>
            </w:r>
            <w:proofErr w:type="spellEnd"/>
          </w:p>
          <w:p w14:paraId="7BC1EA58" w14:textId="5CAAC823" w:rsidR="005B28CA" w:rsidRPr="005B28CA" w:rsidRDefault="001F1B38" w:rsidP="005B28CA">
            <w:pPr>
              <w:widowControl w:val="0"/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</w:pPr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•</w:t>
            </w:r>
            <w:proofErr w:type="spellStart"/>
            <w:r w:rsidR="005B28CA"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Біріктірілген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терапия</w:t>
            </w:r>
          </w:p>
          <w:p w14:paraId="5948305F" w14:textId="77777777" w:rsidR="005B28CA" w:rsidRPr="005B28CA" w:rsidRDefault="005B28CA" w:rsidP="005B28CA">
            <w:pPr>
              <w:widowControl w:val="0"/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</w:pPr>
          </w:p>
          <w:p w14:paraId="417496D6" w14:textId="77777777" w:rsidR="005B28CA" w:rsidRPr="005B28CA" w:rsidRDefault="005B28CA" w:rsidP="005B28CA">
            <w:pPr>
              <w:widowControl w:val="0"/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</w:pP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Сульбактам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/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цефоперазон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әсерінің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кең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спектріне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байланысты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инфекциялардың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көпшілігін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тиісті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түрде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бір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Сульцефпен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емдеуге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болады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.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Дегенмен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,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сульбактам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/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цефоперазон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,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егер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препараттардың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мұндай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біріктірілімдері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көрсетілсе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,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басқа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антибиотиктермен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бір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мезгілде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пайдаланылуы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мүмкін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.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Аминогликозидті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қолданған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жағдайда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емдеу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курсы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кезінде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бүйрек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функциясын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бақылау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қажет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.</w:t>
            </w:r>
          </w:p>
          <w:p w14:paraId="30CB5FEB" w14:textId="77777777" w:rsidR="005B28CA" w:rsidRPr="005B28CA" w:rsidRDefault="005B28CA" w:rsidP="005B28CA">
            <w:pPr>
              <w:widowControl w:val="0"/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</w:pPr>
          </w:p>
          <w:p w14:paraId="052B7B7D" w14:textId="3EA64436" w:rsidR="005B28CA" w:rsidRPr="001F1B38" w:rsidRDefault="005B28CA" w:rsidP="005B28CA">
            <w:pPr>
              <w:widowControl w:val="0"/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</w:pP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Қарсы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көрсет</w:t>
            </w:r>
            <w:proofErr w:type="spellEnd"/>
            <w:r w:rsidR="001F1B38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>ілімдер</w:t>
            </w:r>
          </w:p>
          <w:p w14:paraId="702D17F7" w14:textId="77777777" w:rsidR="005B28CA" w:rsidRPr="005B28CA" w:rsidRDefault="005B28CA" w:rsidP="005B28CA">
            <w:pPr>
              <w:widowControl w:val="0"/>
              <w:spacing w:before="3" w:line="240" w:lineRule="auto"/>
              <w:ind w:left="60"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</w:pPr>
          </w:p>
          <w:p w14:paraId="1A4CF749" w14:textId="7355ADD6" w:rsidR="003743D5" w:rsidRDefault="005B28CA" w:rsidP="005B28CA">
            <w:pPr>
              <w:widowControl w:val="0"/>
              <w:tabs>
                <w:tab w:val="left" w:pos="2871"/>
                <w:tab w:val="left" w:pos="3826"/>
                <w:tab w:val="left" w:pos="4742"/>
                <w:tab w:val="left" w:pos="6095"/>
              </w:tabs>
              <w:spacing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Сульбактам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/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цефоперазон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пенициллиндерге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,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сульбактамға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,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цефоперазонға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немесе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цефалоспоринді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класты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басқа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антибиотикке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немесе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олардың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6.1-бөлімінде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санамаланған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кез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келгеніне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белгіленген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жоғары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сезімталдығы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бар </w:t>
            </w:r>
            <w:proofErr w:type="spellStart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пациенттерге</w:t>
            </w:r>
            <w:proofErr w:type="spellEnd"/>
            <w:r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r w:rsidR="000C13D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 xml:space="preserve">немесе 6.1. бөлімде санамаланған  кез келген  қосымша заттарға  </w:t>
            </w:r>
            <w:proofErr w:type="spellStart"/>
            <w:r w:rsidR="000C13DA"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қарсы</w:t>
            </w:r>
            <w:proofErr w:type="spellEnd"/>
            <w:r w:rsidR="000C13DA"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 xml:space="preserve"> </w:t>
            </w:r>
            <w:proofErr w:type="spellStart"/>
            <w:r w:rsidR="000C13DA" w:rsidRPr="005B28C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көрсетілім</w:t>
            </w:r>
            <w:proofErr w:type="spellEnd"/>
            <w:r w:rsidR="000C13D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>дері бар</w:t>
            </w:r>
            <w:r w:rsidR="000C13D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  <w:lang w:val="kk-KZ"/>
              </w:rPr>
              <w:t>.</w:t>
            </w:r>
          </w:p>
        </w:tc>
      </w:tr>
      <w:tr w:rsidR="003743D5" w14:paraId="61DE772B" w14:textId="77777777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94003" w14:textId="77777777" w:rsidR="003743D5" w:rsidRDefault="002167F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97AF2" w14:textId="119FCE87" w:rsidR="003743D5" w:rsidRPr="001F1B38" w:rsidRDefault="002167F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</w:t>
            </w:r>
            <w:proofErr w:type="spellEnd"/>
            <w:r w:rsidR="001F1B3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логиялық қадағалау</w:t>
            </w:r>
          </w:p>
        </w:tc>
      </w:tr>
    </w:tbl>
    <w:p w14:paraId="2E8EA3FC" w14:textId="77777777" w:rsidR="003743D5" w:rsidRDefault="003743D5">
      <w:pPr>
        <w:sectPr w:rsidR="003743D5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47"/>
        <w:gridCol w:w="6236"/>
      </w:tblGrid>
      <w:tr w:rsidR="003743D5" w14:paraId="10F116D5" w14:textId="77777777">
        <w:trPr>
          <w:cantSplit/>
          <w:trHeight w:hRule="exact" w:val="9099"/>
        </w:trPr>
        <w:tc>
          <w:tcPr>
            <w:tcW w:w="6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5BB96" w14:textId="77777777" w:rsidR="003743D5" w:rsidRDefault="003743D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A3671" w14:textId="35744736" w:rsidR="003743D5" w:rsidRDefault="00E226F6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Фармакологиялық қадағалау жүйесінің сипаттамасы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77BCC" w14:textId="77777777" w:rsidR="003743D5" w:rsidRDefault="003743D5">
            <w:pPr>
              <w:spacing w:after="14" w:line="200" w:lineRule="exact"/>
              <w:rPr>
                <w:sz w:val="20"/>
                <w:szCs w:val="20"/>
              </w:rPr>
            </w:pPr>
          </w:p>
          <w:p w14:paraId="106ABE5F" w14:textId="6A1CE7AE" w:rsidR="00E226F6" w:rsidRPr="00E226F6" w:rsidRDefault="00E226F6" w:rsidP="00E226F6">
            <w:pPr>
              <w:widowControl w:val="0"/>
              <w:spacing w:line="240" w:lineRule="auto"/>
              <w:ind w:left="60" w:right="560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Тіркеу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куәлігі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иесінің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мекенжайы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:</w:t>
            </w:r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1-10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Constantinoupoleos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Street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, 3011. Лимасол, Кипр</w:t>
            </w:r>
          </w:p>
          <w:p w14:paraId="6A16057F" w14:textId="77777777" w:rsidR="00E226F6" w:rsidRPr="00E226F6" w:rsidRDefault="00E226F6" w:rsidP="00E226F6">
            <w:pPr>
              <w:widowControl w:val="0"/>
              <w:spacing w:line="240" w:lineRule="auto"/>
              <w:ind w:left="60" w:right="560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14:paraId="69DDC1CF" w14:textId="3416450A" w:rsidR="00E226F6" w:rsidRPr="00E226F6" w:rsidRDefault="00E226F6" w:rsidP="00E226F6">
            <w:pPr>
              <w:widowControl w:val="0"/>
              <w:spacing w:line="240" w:lineRule="auto"/>
              <w:ind w:left="60" w:right="560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Қ</w:t>
            </w:r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жөніндегі </w:t>
            </w:r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уәкілетті</w:t>
            </w:r>
            <w:proofErr w:type="spellEnd"/>
            <w:proofErr w:type="gram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тұлғаның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мекенжайы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: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Iapetou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street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Agios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Athanassios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Industrial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area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4101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Agios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Athanassios,Лимасол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, Кипр</w:t>
            </w:r>
          </w:p>
          <w:p w14:paraId="7B6118E2" w14:textId="77777777" w:rsidR="00E226F6" w:rsidRPr="00E226F6" w:rsidRDefault="00E226F6" w:rsidP="00E226F6">
            <w:pPr>
              <w:widowControl w:val="0"/>
              <w:spacing w:line="240" w:lineRule="auto"/>
              <w:ind w:left="60" w:right="560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14:paraId="57048B83" w14:textId="627CAFAE" w:rsidR="00E226F6" w:rsidRPr="00E226F6" w:rsidRDefault="00E226F6" w:rsidP="00E226F6">
            <w:pPr>
              <w:widowControl w:val="0"/>
              <w:spacing w:line="240" w:lineRule="auto"/>
              <w:ind w:left="60" w:right="560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Мекенжайы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:</w:t>
            </w:r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IAPETOU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street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FN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жүйесінің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мастер-файлы,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Agios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Athanassios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өнеркәсіптік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аймақ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4101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Agios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Athanassios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, Лимасол, Кипр</w:t>
            </w:r>
          </w:p>
          <w:p w14:paraId="646912B4" w14:textId="77777777" w:rsidR="00E226F6" w:rsidRPr="00E226F6" w:rsidRDefault="00E226F6" w:rsidP="00E226F6">
            <w:pPr>
              <w:widowControl w:val="0"/>
              <w:spacing w:line="240" w:lineRule="auto"/>
              <w:ind w:left="60" w:right="560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14:paraId="2DFF75BC" w14:textId="646C81D9" w:rsidR="00E226F6" w:rsidRPr="00E226F6" w:rsidRDefault="00E226F6" w:rsidP="00E226F6">
            <w:pPr>
              <w:widowControl w:val="0"/>
              <w:spacing w:line="240" w:lineRule="auto"/>
              <w:ind w:left="60" w:right="560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Фармакологиялық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қадағалау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жөніндегі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уәкілетті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тұлғамен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жоғарыда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көрсетілген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ұялы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телефон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арқылы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электрондық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пошта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арқылы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кез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келген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уақытта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аптасына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7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күн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тәулігіне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24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сағат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байланысуға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болады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: pharmacovigilance@medochemie.com,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компанияның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веб-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сайтында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қолжетімді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14:paraId="3C5467D1" w14:textId="77777777" w:rsidR="00E226F6" w:rsidRPr="00E226F6" w:rsidRDefault="00E226F6" w:rsidP="00E226F6">
            <w:pPr>
              <w:widowControl w:val="0"/>
              <w:spacing w:line="240" w:lineRule="auto"/>
              <w:ind w:left="60" w:right="560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14:paraId="0D1F9173" w14:textId="77777777" w:rsidR="00E226F6" w:rsidRPr="00E226F6" w:rsidRDefault="00E226F6" w:rsidP="00E226F6">
            <w:pPr>
              <w:widowControl w:val="0"/>
              <w:spacing w:line="240" w:lineRule="auto"/>
              <w:ind w:left="60" w:right="560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Уәкілетті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тұлғаның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фармакологиялық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қадағалау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жөніндегі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орынбасары.</w:t>
            </w:r>
          </w:p>
          <w:p w14:paraId="0F1B980F" w14:textId="77777777" w:rsidR="00E226F6" w:rsidRPr="00E226F6" w:rsidRDefault="00E226F6" w:rsidP="00E226F6">
            <w:pPr>
              <w:widowControl w:val="0"/>
              <w:spacing w:line="240" w:lineRule="auto"/>
              <w:ind w:left="60" w:right="560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14:paraId="30A54287" w14:textId="77777777" w:rsidR="00E226F6" w:rsidRPr="00E226F6" w:rsidRDefault="00E226F6" w:rsidP="00E226F6">
            <w:pPr>
              <w:widowControl w:val="0"/>
              <w:spacing w:line="240" w:lineRule="auto"/>
              <w:ind w:left="60" w:right="560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Аты-жөні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: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Маринела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Чирила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дәрігер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ғылым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докторы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лауазымы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: медицина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қызметкері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/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фармакологиялық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қадағалау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жөніндегі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уәкілетті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тұлғаның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орынбасары</w:t>
            </w:r>
          </w:p>
          <w:p w14:paraId="4EF60F08" w14:textId="77777777" w:rsidR="00E226F6" w:rsidRPr="00E226F6" w:rsidRDefault="00E226F6" w:rsidP="00E226F6">
            <w:pPr>
              <w:widowControl w:val="0"/>
              <w:spacing w:line="240" w:lineRule="auto"/>
              <w:ind w:left="60" w:right="560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14:paraId="50AB8584" w14:textId="063468B9" w:rsidR="00E226F6" w:rsidRPr="00E226F6" w:rsidRDefault="00E226F6" w:rsidP="00E226F6">
            <w:pPr>
              <w:widowControl w:val="0"/>
              <w:spacing w:line="240" w:lineRule="auto"/>
              <w:ind w:left="60" w:right="560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</w:pP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Мекен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ж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айы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: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Medochemie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Ltd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(Румыния),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Profdr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Cantacuzino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 xml:space="preserve">, nr.5, sector1, 011437, </w:t>
            </w:r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Бухарест</w:t>
            </w:r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 xml:space="preserve"> </w:t>
            </w:r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</w:t>
            </w:r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 xml:space="preserve">., </w:t>
            </w:r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Румыния</w:t>
            </w:r>
          </w:p>
          <w:p w14:paraId="5F2DEA19" w14:textId="77777777" w:rsidR="00E226F6" w:rsidRPr="00E226F6" w:rsidRDefault="00E226F6" w:rsidP="00E226F6">
            <w:pPr>
              <w:widowControl w:val="0"/>
              <w:spacing w:line="240" w:lineRule="auto"/>
              <w:ind w:left="60" w:right="560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</w:pPr>
          </w:p>
          <w:p w14:paraId="7F7AB66B" w14:textId="77777777" w:rsidR="00E226F6" w:rsidRPr="00E226F6" w:rsidRDefault="00E226F6" w:rsidP="00E226F6">
            <w:pPr>
              <w:widowControl w:val="0"/>
              <w:spacing w:line="240" w:lineRule="auto"/>
              <w:ind w:left="60" w:right="560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</w:pPr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 xml:space="preserve">E-mail: </w:t>
            </w:r>
            <w:proofErr w:type="spellStart"/>
            <w:proofErr w:type="gram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marinela.chirila</w:t>
            </w:r>
            <w:proofErr w:type="gram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@medochemie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.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сомТел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.: +4021 206 63 45 (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кеңсе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 xml:space="preserve">)+4074 309 92 46 (24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сағат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)</w:t>
            </w:r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Факс</w:t>
            </w:r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  <w:t>: +4021 206 63 46</w:t>
            </w:r>
          </w:p>
          <w:p w14:paraId="21B511F2" w14:textId="77777777" w:rsidR="00E226F6" w:rsidRPr="00E226F6" w:rsidRDefault="00E226F6" w:rsidP="00E226F6">
            <w:pPr>
              <w:widowControl w:val="0"/>
              <w:spacing w:line="240" w:lineRule="auto"/>
              <w:ind w:left="60" w:right="560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en-US"/>
              </w:rPr>
            </w:pPr>
          </w:p>
          <w:p w14:paraId="49605D88" w14:textId="3A66E647" w:rsidR="003743D5" w:rsidRDefault="00E226F6" w:rsidP="00E226F6">
            <w:pPr>
              <w:widowControl w:val="0"/>
              <w:spacing w:line="240" w:lineRule="auto"/>
              <w:ind w:left="60" w:right="-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Фармакологиялық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қадағалау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жөніндегі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уәкілетті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тұлға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оның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орынбасары,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сондай-ақ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ассистент ЕЭА-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ға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жатады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Фармакологиялық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қадағалау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жөніндегі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уәкілетті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тұлға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Medochemie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Ltd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халықаралық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фармакологиялық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қадағалау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жүйесіне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жауапты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, ал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оның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орынбасары</w:t>
            </w:r>
            <w:r w:rsidR="006A0CF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ның</w:t>
            </w:r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медициналық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білімі</w:t>
            </w:r>
            <w:proofErr w:type="spellEnd"/>
            <w:r w:rsidRPr="00E226F6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бар.</w:t>
            </w:r>
          </w:p>
        </w:tc>
      </w:tr>
      <w:tr w:rsidR="003743D5" w14:paraId="68FEC2A4" w14:textId="77777777" w:rsidTr="00E226F6">
        <w:trPr>
          <w:cantSplit/>
          <w:trHeight w:hRule="exact" w:val="1968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5967D" w14:textId="77777777" w:rsidR="003743D5" w:rsidRDefault="003743D5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AFA39" w14:textId="028CCFC1" w:rsidR="003743D5" w:rsidRDefault="00E226F6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Клиникаға дейінгі аспектілер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E3B1F" w14:textId="77777777" w:rsidR="003743D5" w:rsidRDefault="003743D5"/>
        </w:tc>
      </w:tr>
      <w:tr w:rsidR="003743D5" w14:paraId="1EAC0F34" w14:textId="77777777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DF821" w14:textId="77777777" w:rsidR="003743D5" w:rsidRDefault="003743D5">
            <w:pPr>
              <w:spacing w:after="14" w:line="240" w:lineRule="exact"/>
              <w:rPr>
                <w:sz w:val="24"/>
                <w:szCs w:val="24"/>
              </w:rPr>
            </w:pPr>
          </w:p>
          <w:p w14:paraId="4BA4C8B4" w14:textId="77777777" w:rsidR="003743D5" w:rsidRDefault="002167F9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47C82" w14:textId="59C910AA" w:rsidR="003743D5" w:rsidRPr="000C13DA" w:rsidRDefault="000C13DA" w:rsidP="000C13DA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 xml:space="preserve">Босату шарттары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935E9" w14:textId="77777777" w:rsidR="003743D5" w:rsidRDefault="003743D5">
            <w:pPr>
              <w:spacing w:after="14" w:line="200" w:lineRule="exact"/>
              <w:rPr>
                <w:sz w:val="20"/>
                <w:szCs w:val="20"/>
              </w:rPr>
            </w:pPr>
          </w:p>
          <w:p w14:paraId="3035E557" w14:textId="1DFFE9FA" w:rsidR="003743D5" w:rsidRPr="000C13DA" w:rsidRDefault="000C13D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 xml:space="preserve">Рецепт бойынша </w:t>
            </w:r>
          </w:p>
        </w:tc>
      </w:tr>
    </w:tbl>
    <w:p w14:paraId="49CFF423" w14:textId="77777777" w:rsidR="003743D5" w:rsidRDefault="002167F9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 wp14:anchorId="0E4FF9F1" wp14:editId="2D344F18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45E72851" w14:textId="77777777" w:rsidR="003743D5" w:rsidRPr="002167F9" w:rsidRDefault="002167F9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2167F9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Created by the trial version of PDF Focus .Net 6.9.7.6!</w:t>
                            </w:r>
                          </w:p>
                          <w:p w14:paraId="500293A6" w14:textId="77777777" w:rsidR="003743D5" w:rsidRPr="002167F9" w:rsidRDefault="002167F9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2167F9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trial version sometimes inserts "trial" into random places.</w:t>
                            </w:r>
                          </w:p>
                          <w:p w14:paraId="0DE73A8C" w14:textId="77777777" w:rsidR="003743D5" w:rsidRPr="002167F9" w:rsidRDefault="002A50FA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hyperlink r:id="rId4">
                              <w:r w:rsidR="002167F9" w:rsidRPr="002167F9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Get the full version of PDF Focus .Net.</w:t>
                              </w:r>
                            </w:hyperlink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E4FF9F1" id="drawingObject2" o:spid="_x0000_s1027" type="#_x0000_t202" style="position:absolute;margin-left:229.25pt;margin-top:787.85pt;width:5in;height:5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" o:allowincell="f" stroked="f">
                <v:textbox>
                  <w:txbxContent>
                    <w:p w14:paraId="45E72851" w14:textId="77777777" w:rsidR="003743D5" w:rsidRPr="002167F9" w:rsidRDefault="002167F9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2167F9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Created by the trial version of PDF Focus .Net 6.9.7.6!</w:t>
                      </w:r>
                    </w:p>
                    <w:p w14:paraId="500293A6" w14:textId="77777777" w:rsidR="003743D5" w:rsidRPr="002167F9" w:rsidRDefault="002167F9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2167F9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The trial version sometimes inserts "trial" into random places.</w:t>
                      </w:r>
                    </w:p>
                    <w:p w14:paraId="0DE73A8C" w14:textId="77777777" w:rsidR="003743D5" w:rsidRPr="002167F9" w:rsidRDefault="002A50FA">
                      <w:pPr>
                        <w:spacing w:line="240" w:lineRule="auto"/>
                        <w:rPr>
                          <w:lang w:val="en-US"/>
                        </w:rPr>
                      </w:pPr>
                      <w:hyperlink r:id="rId5">
                        <w:r w:rsidR="002167F9" w:rsidRPr="002167F9">
                          <w:rPr>
                            <w:color w:val="0000FF"/>
                            <w:sz w:val="24"/>
                            <w:szCs w:val="24"/>
                            <w:u w:val="single"/>
                            <w:lang w:val="en-US"/>
                          </w:rPr>
                          <w:t>Get the full version of PDF Focus .Net.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743D5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D5"/>
    <w:rsid w:val="000C13DA"/>
    <w:rsid w:val="001F1B38"/>
    <w:rsid w:val="002167F9"/>
    <w:rsid w:val="002A50FA"/>
    <w:rsid w:val="003743D5"/>
    <w:rsid w:val="004F1EF0"/>
    <w:rsid w:val="005B28CA"/>
    <w:rsid w:val="006A0CFA"/>
    <w:rsid w:val="006A16A2"/>
    <w:rsid w:val="00DE60AE"/>
    <w:rsid w:val="00E2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72FE"/>
  <w15:docId w15:val="{C4E17864-210B-4688-8DD0-4F885CFC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autinsoft.com/products/pdf-focus/order.php" TargetMode="External"/><Relationship Id="rId4" Type="http://schemas.openxmlformats.org/officeDocument/2006/relationships/hyperlink" Target="https://www.sautinsoft.com/products/pdf-focus/order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Saule B. Shakirova</cp:lastModifiedBy>
  <cp:revision>2</cp:revision>
  <dcterms:created xsi:type="dcterms:W3CDTF">2020-09-08T12:13:00Z</dcterms:created>
  <dcterms:modified xsi:type="dcterms:W3CDTF">2020-09-08T12:13:00Z</dcterms:modified>
</cp:coreProperties>
</file>